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GoBack"/>
      <w:bookmarkEnd w:id="0"/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HIPOCALCEMIA SUBCLINICA  IMPORTANCIA E </w:t>
      </w:r>
      <w:r>
        <w:rPr>
          <w:sz w:val="28"/>
          <w:szCs w:val="28"/>
        </w:rPr>
        <w:t>IDENTIFICACIÓN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La hipocalcemia clínica o fiebre de leche es fácilmente observable y puede clasificarse en tres estados según  los síntomas .En el estado 1 estando la vaca de pie tiene las orejas frías, hay depresión del apetito, debilidad, nerviosismo e  hipersensibilidad  etc.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Cuando evoluciona al estado 2,    la vaca cae en decúbito esternal presenta la nariz seca , orejas  piel extremidades frías  con pulso débil, exoftalmia etc  y en el estado 3  hay una pérdida de conciencia y coma . </w:t>
      </w:r>
    </w:p>
    <w:p>
      <w:pPr>
        <w:pStyle w:val="Normal"/>
        <w:jc w:val="both"/>
        <w:rPr/>
      </w:pPr>
      <w:r>
        <w:rPr>
          <w:b/>
          <w:sz w:val="24"/>
          <w:szCs w:val="24"/>
        </w:rPr>
        <w:t xml:space="preserve">LA HIPOCALCEMIA </w:t>
      </w:r>
      <w:r>
        <w:rPr>
          <w:b/>
          <w:sz w:val="24"/>
          <w:szCs w:val="24"/>
        </w:rPr>
        <w:t>CLÍNICA</w:t>
      </w:r>
      <w:r>
        <w:rPr>
          <w:b/>
          <w:sz w:val="24"/>
          <w:szCs w:val="24"/>
        </w:rPr>
        <w:t xml:space="preserve"> ES </w:t>
      </w:r>
      <w:r>
        <w:rPr>
          <w:b/>
          <w:sz w:val="24"/>
          <w:szCs w:val="24"/>
        </w:rPr>
        <w:t>FÁCILMENTE</w:t>
      </w:r>
      <w:r>
        <w:rPr>
          <w:b/>
          <w:sz w:val="24"/>
          <w:szCs w:val="24"/>
        </w:rPr>
        <w:t xml:space="preserve"> DETECTABLE NO </w:t>
      </w:r>
      <w:r>
        <w:rPr>
          <w:b/>
          <w:sz w:val="24"/>
          <w:szCs w:val="24"/>
        </w:rPr>
        <w:t>ASÍ</w:t>
      </w:r>
      <w:r>
        <w:rPr>
          <w:b/>
          <w:sz w:val="24"/>
          <w:szCs w:val="24"/>
        </w:rPr>
        <w:t xml:space="preserve"> LA HIPOCALCEMIA SUBCLINICA</w:t>
      </w:r>
      <w:r>
        <w:rPr>
          <w:sz w:val="24"/>
          <w:szCs w:val="24"/>
        </w:rPr>
        <w:t>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Los animales con hipocalcemia subclínica  no muestran síntomas,  los niveles sanguíneos de calcio se sitúan generalmente entre 7.5 y 8.5  mgs /ml. Si los niveles cálcicos descienden  a menos de 7.5 mgs/ml se puede clasificar como hipocalcemia clínica y en ella  los síntomas de la enfermedad son generalmente  manifiestos. (oetzel G.R. 1996 y Goff et al 1996).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FRECUENCIA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La hipocalcemia clínica afecta entre el 5 y 10 % de las vacas lecheras en EEUU variando su incidencia entre 1.4 y 38 %. y según el sistema nacional  de monitoreo de salud animal   de EEUU se estima </w:t>
      </w:r>
      <w:r>
        <w:rPr>
          <w:b/>
          <w:sz w:val="24"/>
          <w:szCs w:val="24"/>
        </w:rPr>
        <w:t>que el 54 % de las vacas multíparas y el 25 % de las vaquillas de primer parto sufren de hipocalcemia subclínica</w:t>
      </w:r>
      <w:r>
        <w:rPr>
          <w:sz w:val="24"/>
          <w:szCs w:val="24"/>
        </w:rPr>
        <w:t xml:space="preserve">.  Sin sales anionicas se presenta entre el 60-70 % de las vacas adultas (Oetzel 2012) y  </w:t>
      </w:r>
      <w:r>
        <w:rPr>
          <w:b/>
          <w:sz w:val="24"/>
          <w:szCs w:val="24"/>
        </w:rPr>
        <w:t>10 a 50 % de las vacas permanecen hipocalcemias hasta 10 días post-parto (Goof et al 1996).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ORIGEN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disminución del calcio sanguíneo ocurre dentro de las 24-48 horas post-parto y está causada por la desadaptación o  inhabilidad del animal para responder ante el  incremento drástico de las necesidades cálcicas  por la elevación brutal de  la producción de leche y de calostro .                                               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CONSECUENCIAS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Las consecuencias  generales sobre el estado de salud productivo y reproductivo  de la hipocalcemia subclínica  son atribuibles a   :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1.- </w:t>
      </w:r>
      <w:r>
        <w:rPr>
          <w:b/>
          <w:sz w:val="24"/>
          <w:szCs w:val="24"/>
        </w:rPr>
        <w:t xml:space="preserve">UNA DISMINUCION DE LAS CONTRACCIONES MUSCULARES  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>2.-UNA BAJA  INMUNIDAD</w:t>
      </w:r>
      <w:r>
        <w:rPr>
          <w:sz w:val="24"/>
          <w:szCs w:val="24"/>
        </w:rPr>
        <w:t xml:space="preserve">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1.-DISMINUCION DE CONTRACCIONES MUSCULARES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Como consecuencia de la disminución de las contracciones musculares  del rumen  y abomaso aumenta la incidencia  de  desplazamiento de abomaso, el consumo de materia seca se ve disminuido y por lo mismo se  incrementa la presencia de cetosis con   lipomovilizacion  e hígado graso acentuadoa .</w:t>
      </w:r>
    </w:p>
    <w:p>
      <w:pPr>
        <w:pStyle w:val="Normal"/>
        <w:jc w:val="both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07CA3909">
                <wp:simplePos x="0" y="0"/>
                <wp:positionH relativeFrom="column">
                  <wp:posOffset>63500</wp:posOffset>
                </wp:positionH>
                <wp:positionV relativeFrom="paragraph">
                  <wp:posOffset>273050</wp:posOffset>
                </wp:positionV>
                <wp:extent cx="3156585" cy="2285365"/>
                <wp:effectExtent l="76200" t="76200" r="139700" b="134620"/>
                <wp:wrapSquare wrapText="bothSides"/>
                <wp:docPr id="1" name="Imagen 7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3156120" cy="2284560"/>
                        </a:xfrm>
                        <a:prstGeom prst="rect">
                          <a:avLst/>
                        </a:prstGeom>
                        <a:ln w="38160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miter/>
                        </a:ln>
                        <a:effectLst>
                          <a:outerShdw algn="tl" blurRad="50800" dir="2700000" dist="38100" rotWithShape="0">
                            <a:srgbClr val="000000">
                              <a:alpha val="43000"/>
                            </a:srgbClr>
                          </a:outerShdw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Imagen 7" stroked="t" style="position:absolute;margin-left:5pt;margin-top:21.5pt;width:248.45pt;height:179.85pt" wp14:anchorId="07CA3909">
                <v:imagedata r:id="rId2" o:detectmouseclick="t"/>
                <w10:wrap type="none"/>
                <v:stroke color="#fcd5b5" weight="38160" joinstyle="miter" endcap="flat"/>
                <v:shadow on="t" obscured="f" color="black"/>
              </v:rect>
            </w:pict>
          </mc:Fallback>
        </mc:AlternateContent>
      </w:r>
      <w:r>
        <w:rPr>
          <w:sz w:val="24"/>
          <w:szCs w:val="24"/>
        </w:rPr>
        <w:t>La disminución de  la motilidad uterina  aumenta la incidencia de metritis y R.P.y como consecuencia de la disminución de las contracciones musculares  del esfínter del pezón aumenta la incidencia de mastitis</w:t>
      </w:r>
      <w:r>
        <w:rPr>
          <w:sz w:val="28"/>
          <w:szCs w:val="28"/>
        </w:rPr>
        <w:t xml:space="preserve"> (cuadro 1)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Los riesgos de aparición de  estas enfermedades se incrementan: 3 veces para la endometritis, 5.6  veces para la R.P. 2.5 veces para el desplazamiento de abomaso y 8 veces para  la mastitis. </w:t>
      </w:r>
    </w:p>
    <w:p>
      <w:pPr>
        <w:pStyle w:val="Normal"/>
        <w:rPr>
          <w:sz w:val="28"/>
          <w:szCs w:val="28"/>
        </w:rPr>
      </w:pPr>
      <w:r>
        <w:rPr/>
        <mc:AlternateContent>
          <mc:Choice Requires="wps">
            <w:drawing>
              <wp:inline distT="0" distB="0" distL="0" distR="0" wp14:anchorId="0F3878BF">
                <wp:extent cx="2877185" cy="1969135"/>
                <wp:effectExtent l="0" t="0" r="0" b="0"/>
                <wp:docPr id="4" name="Picture 1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6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2876400" cy="1968480"/>
                        </a:xfrm>
                        <a:prstGeom prst="rect">
                          <a:avLst/>
                        </a:prstGeom>
                        <a:ln w="38160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miter/>
                        </a:ln>
                        <a:effectLst>
                          <a:outerShdw algn="tl" blurRad="50800" dir="2700000" dist="38100" rotWithShape="0">
                            <a:srgbClr val="000000">
                              <a:alpha val="43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Picture 16" stroked="t" style="position:absolute;margin-left:0pt;margin-top:0pt;width:226.45pt;height:154.95pt" wp14:anchorId="0F3878BF">
                <v:imagedata r:id="rId3" o:detectmouseclick="t"/>
                <w10:wrap type="none"/>
                <v:stroke color="#fcd5b5" weight="38160" joinstyle="miter" endcap="flat"/>
                <v:shadow on="t" obscured="f" color="black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 wp14:anchorId="3F28876F">
                <wp:simplePos x="0" y="0"/>
                <wp:positionH relativeFrom="column">
                  <wp:posOffset>-3400425</wp:posOffset>
                </wp:positionH>
                <wp:positionV relativeFrom="paragraph">
                  <wp:posOffset>521970</wp:posOffset>
                </wp:positionV>
                <wp:extent cx="3220085" cy="1429385"/>
                <wp:effectExtent l="57150" t="38100" r="76200" b="95250"/>
                <wp:wrapNone/>
                <wp:docPr id="2" name="Cuadro de tex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80" cy="14288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14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round/>
                        </a:ln>
                        <a:effectLst>
                          <a:outerShdw blurRad="40000" dir="54000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En vacas con niveles normales de calcio en sangre, 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los niveles de cortisol son elevados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y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  el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número de linfocitos y neutrófilos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se ve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disminuido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en el peri parto lo que es  indicativo de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una depresión de la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inmunidad (2)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  <w:lang w:eastAsia="es-MX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Contenidodelmarco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#9bbb59" stroked="t" style="position:absolute;margin-left:-267.75pt;margin-top:41.1pt;width:253.45pt;height:112.45pt" wp14:anchorId="3F28876F">
                <w10:wrap type="square"/>
                <v:fill o:detectmouseclick="t" type="solid" color2="#6444a6" opacity="0.13"/>
                <v:stroke color="#fcd5b5" weight="9360" joinstyle="round" endcap="flat"/>
                <v:shadow on="t" obscured="f" color="black"/>
                <v:textbox>
                  <w:txbxContent>
                    <w:p>
                      <w:pPr>
                        <w:pStyle w:val="Contenidodelmarc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En vacas con niveles normales de calcio en sangre,  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los niveles de cortisol son elevados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 y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   el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número de linfocitos y neutrófilos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 se ve 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disminuido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  en el peri parto lo que es  indicativo de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una depresión de la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inmunidad (2)</w:t>
                      </w:r>
                      <w:r>
                        <w:rPr>
                          <w:color w:val="000000"/>
                          <w:sz w:val="28"/>
                          <w:szCs w:val="28"/>
                          <w:lang w:eastAsia="es-MX"/>
                        </w:rPr>
                        <w:t xml:space="preserve"> </w:t>
                      </w:r>
                    </w:p>
                    <w:p>
                      <w:pPr>
                        <w:pStyle w:val="Contenidodelmarco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EN TODAS LAS VACAS DURANTE EL PERI-PARTO  LA INMUNIDAD SE VE DEPRIMIDA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PERO EN ANIMALES CON HIPOCALCEMIA SUBCLINICA ESTA DEPRESION DE LA INMUNIDAD SE EXACERBA COMO LO DEMUESTRA   EL MENOR NUMERO DE NEUTROFILOS CIRCULANTES  Y SU  MENOR  ACTIVIDAD.   EN COMPARACION CON ANIMALES DE NIVELES CALCICOSNORMALES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3" wp14:anchorId="4AEF1002">
                <wp:simplePos x="0" y="0"/>
                <wp:positionH relativeFrom="column">
                  <wp:posOffset>3841750</wp:posOffset>
                </wp:positionH>
                <wp:positionV relativeFrom="paragraph">
                  <wp:posOffset>149860</wp:posOffset>
                </wp:positionV>
                <wp:extent cx="2813685" cy="1847215"/>
                <wp:effectExtent l="171450" t="171450" r="387350" b="363220"/>
                <wp:wrapTight wrapText="bothSides">
                  <wp:wrapPolygon edited="0">
                    <wp:start x="1609" y="-2006"/>
                    <wp:lineTo x="-1316" y="-1560"/>
                    <wp:lineTo x="-1316" y="22506"/>
                    <wp:lineTo x="-878" y="23620"/>
                    <wp:lineTo x="731" y="25180"/>
                    <wp:lineTo x="878" y="25626"/>
                    <wp:lineTo x="22234" y="25626"/>
                    <wp:lineTo x="22380" y="25180"/>
                    <wp:lineTo x="23989" y="23620"/>
                    <wp:lineTo x="24282" y="19832"/>
                    <wp:lineTo x="24428" y="891"/>
                    <wp:lineTo x="22380" y="-1560"/>
                    <wp:lineTo x="21502" y="-2006"/>
                    <wp:lineTo x="1609" y="-2006"/>
                  </wp:wrapPolygon>
                </wp:wrapTight>
                <wp:docPr id="5" name="Imagen 1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1" descr=""/>
                        <pic:cNvPicPr/>
                      </pic:nvPicPr>
                      <pic:blipFill>
                        <a:blip r:embed="rId4"/>
                        <a:srcRect l="0" t="0" r="3264" b="3666"/>
                        <a:stretch/>
                      </pic:blipFill>
                      <pic:spPr>
                        <a:xfrm>
                          <a:off x="0" y="0"/>
                          <a:ext cx="2813040" cy="1846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algn="tl" blurRad="292100" dir="2700000" dist="139700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Imagen 11" stroked="f" style="position:absolute;margin-left:302.5pt;margin-top:11.8pt;width:221.45pt;height:145.35pt" wp14:anchorId="4AEF1002">
                <v:imagedata r:id="rId4" o:detectmouseclick="t"/>
                <w10:wrap type="none"/>
                <v:stroke color="#3465a4" joinstyle="round" endcap="flat"/>
              </v:rect>
            </w:pict>
          </mc:Fallback>
        </mc:AlternateContent>
        <mc:AlternateContent>
          <mc:Choice Requires="wpg">
            <w:drawing>
              <wp:anchor behindDoc="0" distT="0" distB="0" distL="114300" distR="114300" simplePos="0" locked="0" layoutInCell="1" allowOverlap="1" relativeHeight="5" wp14:anchorId="10182A76">
                <wp:simplePos x="0" y="0"/>
                <wp:positionH relativeFrom="column">
                  <wp:posOffset>50800</wp:posOffset>
                </wp:positionH>
                <wp:positionV relativeFrom="paragraph">
                  <wp:posOffset>149860</wp:posOffset>
                </wp:positionV>
                <wp:extent cx="3391535" cy="1899285"/>
                <wp:effectExtent l="0" t="0" r="19050" b="6350"/>
                <wp:wrapNone/>
                <wp:docPr id="6" name="296 Grupo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0840" cy="18986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3390840" cy="1898640"/>
                          </a:xfrm>
                        </wpg:grpSpPr>
                        <pic:pic xmlns:pic="http://schemas.openxmlformats.org/drawingml/2006/picture">
                          <pic:nvPicPr>
                            <pic:cNvPr id="3" name="Imagen 10" descr=""/>
                            <pic:cNvPicPr/>
                          </pic:nvPicPr>
                          <pic:blipFill>
                            <a:blip r:embed="rId5"/>
                            <a:stretch/>
                          </pic:blipFill>
                          <pic:spPr>
                            <a:xfrm>
                              <a:off x="0" y="0"/>
                              <a:ext cx="3390840" cy="189864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spPr>
                            <a:xfrm>
                              <a:off x="0" y="0"/>
                              <a:ext cx="3390840" cy="48528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  <a:round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</wpg:grpSp>
                      <wps:wsp>
                        <wps:cNvSpPr/>
                        <wps:spPr>
                          <a:xfrm>
                            <a:off x="12600" y="19080"/>
                            <a:ext cx="3359160" cy="462240"/>
                          </a:xfrm>
                          <a:prstGeom prst="rect">
                            <a:avLst/>
                          </a:prstGeom>
                          <a:solidFill>
                            <a:srgbClr val="f7ddbb">
                              <a:alpha val="82000"/>
                            </a:srgbClr>
                          </a:solidFill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HAnsi" w:hAnsiTheme="minorHAnsi"/>
                                  <w14:glow w14:rad="101600">
                                    <w14:schemeClr w14:val="tx1">
                                      <w14:alpha w14:val="40000"/>
                                    </w14:schemeClr>
                                  </w14:glow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HIPOCALCEMIA SUBCLINICA Y NEUTROFILOS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296 Grupo" style="position:absolute;margin-left:4pt;margin-top:11.8pt;width:267pt;height:149.5pt" coordorigin="80,236" coordsize="5340,2990">
                <v:group id="shape_0" alt="295 Grupo" style="position:absolute;left:80;top:236;width:5340;height:2990">
                  <v:rect id="shape_0" ID="Imagen 10" stroked="f" style="position:absolute;left:80;top:236;width:5339;height:2989">
                    <v:imagedata r:id="rId5" o:detectmouseclick="t"/>
                    <w10:wrap type="none"/>
                    <v:stroke color="#3465a4" joinstyle="round" endcap="flat"/>
                  </v:rect>
                  <v:rect id="shape_0" ID="288 Rectángulo" fillcolor="#fdeada" stroked="t" style="position:absolute;left:80;top:236;width:5339;height:763">
                    <v:textbox>
                      <w:txbxContent>
                        <w:p>
                          <w:pPr>
                            <w:overflowPunct w:val="false"/>
                            <w:spacing w:before="0" w:after="0" w:lineRule="auto" w:line="240"/>
                            <w:jc w:val="left"/>
                            <w:rPr/>
                          </w:pPr>
                          <w:r>
                            <w:rPr/>
                          </w:r>
                        </w:p>
                      </w:txbxContent>
                    </v:textbox>
                    <w10:wrap type="none"/>
                    <v:fill o:detectmouseclick="t" type="solid" color2="#021525"/>
                    <v:stroke color="white" weight="25560" joinstyle="round" endcap="flat"/>
                  </v:rect>
                </v:group>
                <v:rect id="shape_0" ID="Cuadro de texto 2" fillcolor="#f7ddbb" stroked="f" style="position:absolute;left:100;top:266;width:5289;height:727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HAnsi" w:hAnsiTheme="minorHAnsi"/>
                            <w14:glow w14:rad="101600">
                              <w14:schemeClr w14:val="tx1">
                                <w14:alpha w14:val="40000"/>
                              </w14:schemeClr>
                            </w14:glow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</w:rPr>
                          <w:t>HIPOCALCEMIA SUBCLINICA Y NEUTROFILOS</w:t>
                        </w:r>
                      </w:p>
                    </w:txbxContent>
                  </v:textbox>
                  <w10:wrap type="square"/>
                  <v:fill o:detectmouseclick="t" type="solid" color2="#082244" opacity="0.81"/>
                  <v:stroke color="#3465a4" weight="9360" joinstyle="miter" endcap="flat"/>
                </v:rect>
              </v:group>
            </w:pict>
          </mc:Fallback>
        </mc:AlternateConten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COMO  LOS NEUTROFILOS SON LA RESPUESTA PRIMARIA DE  FAGOSITOSIS ANTE LAS INFECCIONES UTERINAS, LA INCIDENCIA DE ENDOMETRITIS CLINICA Y SUBCLINICA SE INCREMENTAN CONSIDERABLEMENTE EN ANIMALES CON HIPOCALCEMIA SUBCLINICA.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mc:AlternateContent>
          <mc:Choice Requires="wpg">
            <w:drawing>
              <wp:anchor behindDoc="0" distT="0" distB="0" distL="114300" distR="114300" simplePos="0" locked="0" layoutInCell="1" allowOverlap="1" relativeHeight="8" wp14:anchorId="03892378">
                <wp:simplePos x="0" y="0"/>
                <wp:positionH relativeFrom="column">
                  <wp:posOffset>3676650</wp:posOffset>
                </wp:positionH>
                <wp:positionV relativeFrom="paragraph">
                  <wp:posOffset>69850</wp:posOffset>
                </wp:positionV>
                <wp:extent cx="2585085" cy="2070735"/>
                <wp:effectExtent l="171450" t="57150" r="368300" b="368300"/>
                <wp:wrapNone/>
                <wp:docPr id="7" name="298 Grupo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4440" cy="2070000"/>
                        </a:xfrm>
                      </wpg:grpSpPr>
                      <wpg:grpSp>
                        <wpg:cNvGrpSpPr/>
                        <wpg:grpSpPr>
                          <a:xfrm>
                            <a:off x="0" y="79200"/>
                            <a:ext cx="2584440" cy="1990800"/>
                          </a:xfrm>
                        </wpg:grpSpPr>
                        <pic:pic xmlns:pic="http://schemas.openxmlformats.org/drawingml/2006/picture">
                          <pic:nvPicPr>
                            <pic:cNvPr id="4" name="Imagen 14" descr=""/>
                            <pic:cNvPicPr/>
                          </pic:nvPicPr>
                          <pic:blipFill>
                            <a:blip r:embed="rId6"/>
                            <a:stretch/>
                          </pic:blipFill>
                          <pic:spPr>
                            <a:xfrm>
                              <a:off x="0" y="36360"/>
                              <a:ext cx="2584440" cy="195444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outerShdw algn="tl" blurRad="292100" dir="2700000" dist="139700" rotWithShape="0">
                                <a:srgbClr val="333333">
                                  <a:alpha val="65000"/>
                                </a:srgbClr>
                              </a:outerShdw>
                            </a:effectLst>
                          </pic:spPr>
                        </pic:pic>
                        <wps:wsp>
                          <wps:cNvSpPr/>
                          <wps:spPr>
                            <a:xfrm>
                              <a:off x="0" y="0"/>
                              <a:ext cx="2584440" cy="35316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</wpg:grpSp>
                      <wps:wsp>
                        <wps:cNvSpPr/>
                        <wps:spPr>
                          <a:xfrm>
                            <a:off x="0" y="0"/>
                            <a:ext cx="2584440" cy="435600"/>
                          </a:xfrm>
                          <a:prstGeom prst="rect">
                            <a:avLst/>
                          </a:prstGeom>
                          <a:solidFill>
                            <a:srgbClr val="ffcc66">
                              <a:alpha val="27000"/>
                            </a:srgbClr>
                          </a:solidFill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1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HAnsi" w:hAnsiTheme="minorHAnsi"/>
                                  <w14:glow w14:rad="101600">
                                    <w14:schemeClr w14:val="tx1">
                                      <w14:alpha w14:val="40000"/>
                                    </w14:schemeClr>
                                  </w14:glow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HIPOCALCEMIA SUBCLINICA Y NIVELES PLASMATICOS DE AGNE Y BETAHIDROXIBUTIRICO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298 Grupo" style="position:absolute;margin-left:289.5pt;margin-top:5.5pt;width:203.5pt;height:163pt" coordorigin="5790,110" coordsize="4070,3260">
                <v:group id="shape_0" alt="297 Grupo" style="position:absolute;left:5790;top:235;width:4070;height:3136">
                  <v:rect id="shape_0" ID="Imagen 14" stroked="f" style="position:absolute;left:5790;top:292;width:4069;height:3077">
                    <v:imagedata r:id="rId6" o:detectmouseclick="t"/>
                    <w10:wrap type="none"/>
                    <v:stroke color="#3465a4" joinstyle="round" endcap="flat"/>
                  </v:rect>
                  <v:rect id="shape_0" ID="290 Rectángulo" fillcolor="white" stroked="f" style="position:absolute;left:5790;top:235;width:4069;height:555">
                    <v:textbox>
                      <w:txbxContent>
                        <w:p>
                          <w:pPr>
                            <w:overflowPunct w:val="false"/>
                            <w:spacing w:before="0" w:after="0" w:lineRule="auto" w:line="240"/>
                            <w:jc w:val="left"/>
                            <w:rPr/>
                          </w:pPr>
                          <w:r>
                            <w:rPr/>
                          </w:r>
                        </w:p>
                      </w:txbxContent>
                    </v:textbox>
                    <w10:wrap type="none"/>
                    <v:fill o:detectmouseclick="t" type="solid" color2="black"/>
                    <v:stroke color="#3465a4" weight="25560" joinstyle="round" endcap="flat"/>
                  </v:rect>
                </v:group>
                <v:rect id="shape_0" ID="Cuadro de texto 2" fillcolor="#ffcc66" stroked="f" style="position:absolute;left:5790;top:110;width:4069;height:685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1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2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HAnsi" w:hAnsiTheme="minorHAnsi"/>
                            <w14:glow w14:rad="101600">
                              <w14:schemeClr w14:val="tx1">
                                <w14:alpha w14:val="40000"/>
                              </w14:schemeClr>
                            </w14:glow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</w:rPr>
                          <w:t>HIPOCALCEMIA SUBCLINICA Y NIVELES PLASMATICOS DE AGNE Y BETAHIDROXIBUTIRICO</w:t>
                        </w:r>
                      </w:p>
                    </w:txbxContent>
                  </v:textbox>
                  <w10:wrap type="square"/>
                  <v:fill o:detectmouseclick="t" type="solid" color2="#003399" opacity="0.26"/>
                  <v:stroke color="#3465a4" weight="9360" joinstyle="miter" endcap="flat"/>
                </v:rect>
              </v:group>
            </w:pict>
          </mc:Fallback>
        </mc:AlternateContent>
        <mc:AlternateContent>
          <mc:Choice Requires="wpg">
            <w:drawing>
              <wp:anchor behindDoc="0" distT="0" distB="0" distL="114300" distR="114300" simplePos="0" locked="0" layoutInCell="1" allowOverlap="1" relativeHeight="9" wp14:anchorId="1E83CAD2">
                <wp:simplePos x="0" y="0"/>
                <wp:positionH relativeFrom="column">
                  <wp:posOffset>-31115</wp:posOffset>
                </wp:positionH>
                <wp:positionV relativeFrom="paragraph">
                  <wp:posOffset>38100</wp:posOffset>
                </wp:positionV>
                <wp:extent cx="2743835" cy="2178685"/>
                <wp:effectExtent l="171450" t="0" r="323850" b="355600"/>
                <wp:wrapNone/>
                <wp:docPr id="8" name="299 Grupo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2178000"/>
                        </a:xfrm>
                      </wpg:grpSpPr>
                      <wpg:grpSp>
                        <wpg:cNvGrpSpPr/>
                        <wpg:grpSpPr>
                          <a:xfrm>
                            <a:off x="0" y="224280"/>
                            <a:ext cx="2698920" cy="1953720"/>
                          </a:xfrm>
                        </wpg:grpSpPr>
                        <pic:pic xmlns:pic="http://schemas.openxmlformats.org/drawingml/2006/picture">
                          <pic:nvPicPr>
                            <pic:cNvPr id="5" name="Imagen 12" descr=""/>
                            <pic:cNvPicPr/>
                          </pic:nvPicPr>
                          <pic:blipFill>
                            <a:blip r:embed="rId7"/>
                            <a:stretch/>
                          </pic:blipFill>
                          <pic:spPr>
                            <a:xfrm>
                              <a:off x="0" y="27720"/>
                              <a:ext cx="2698920" cy="1926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outerShdw algn="tl" blurRad="292100" dir="2700000" dist="139700" rotWithShape="0">
                                <a:srgbClr val="333333">
                                  <a:alpha val="65000"/>
                                </a:srgbClr>
                              </a:outerShdw>
                            </a:effectLst>
                          </pic:spPr>
                        </pic:pic>
                        <wps:wsp>
                          <wps:cNvSpPr/>
                          <wps:spPr>
                            <a:xfrm>
                              <a:off x="0" y="0"/>
                              <a:ext cx="2698920" cy="30744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</wpg:grpSp>
                      <wps:wsp>
                        <wps:cNvSpPr/>
                        <wps:spPr>
                          <a:xfrm>
                            <a:off x="44280" y="0"/>
                            <a:ext cx="2698920" cy="453240"/>
                          </a:xfrm>
                          <a:prstGeom prst="rect">
                            <a:avLst/>
                          </a:prstGeom>
                          <a:solidFill>
                            <a:srgbClr val="ffcc66">
                              <a:alpha val="15000"/>
                            </a:srgbClr>
                          </a:solidFill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1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HAnsi" w:hAnsiTheme="minorHAnsi"/>
                                  <w14:glow w14:rad="101600">
                                    <w14:schemeClr w14:val="tx1">
                                      <w14:alpha w14:val="40000"/>
                                    </w14:schemeClr>
                                  </w14:glow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HIPOCALCEMIA SUBCLINICA Y ENDOMETRITIS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299 Grupo" style="position:absolute;margin-left:-2.45pt;margin-top:3pt;width:216pt;height:171.5pt" coordorigin="-49,60" coordsize="4320,3430">
                <v:group id="shape_0" alt="293 Grupo" style="position:absolute;left:-49;top:413;width:4250;height:3076">
                  <v:rect id="shape_0" ID="Imagen 12" stroked="f" style="position:absolute;left:-49;top:457;width:4249;height:3032">
                    <v:imagedata r:id="rId7" o:detectmouseclick="t"/>
                    <w10:wrap type="none"/>
                    <v:stroke color="#3465a4" joinstyle="round" endcap="flat"/>
                  </v:rect>
                  <v:rect id="shape_0" ID="292 Rectángulo" fillcolor="white" stroked="f" style="position:absolute;left:-49;top:413;width:4249;height:483">
                    <v:textbox>
                      <w:txbxContent>
                        <w:p>
                          <w:pPr>
                            <w:overflowPunct w:val="false"/>
                            <w:spacing w:before="0" w:after="0" w:lineRule="auto" w:line="240"/>
                            <w:jc w:val="left"/>
                            <w:rPr/>
                          </w:pPr>
                          <w:r>
                            <w:rPr/>
                          </w:r>
                        </w:p>
                      </w:txbxContent>
                    </v:textbox>
                    <w10:wrap type="none"/>
                    <v:fill o:detectmouseclick="t" type="solid" color2="black"/>
                    <v:stroke color="#3465a4" weight="25560" joinstyle="round" endcap="flat"/>
                  </v:rect>
                </v:group>
                <v:rect id="shape_0" ID="Cuadro de texto 2" fillcolor="#ffcc66" stroked="f" style="position:absolute;left:21;top:60;width:4249;height:713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1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4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HAnsi" w:hAnsiTheme="minorHAnsi"/>
                            <w14:glow w14:rad="101600">
                              <w14:schemeClr w14:val="tx1">
                                <w14:alpha w14:val="40000"/>
                              </w14:schemeClr>
                            </w14:glow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</w:rPr>
                          <w:t>HIPOCALCEMIA SUBCLINICA Y ENDOMETRITIS</w:t>
                        </w:r>
                      </w:p>
                    </w:txbxContent>
                  </v:textbox>
                  <w10:wrap type="square"/>
                  <v:fill o:detectmouseclick="t" type="solid" color2="#003399" opacity="0.14"/>
                  <v:stroke color="#3465a4" weight="9360" joinstyle="miter" endcap="flat"/>
                </v:rect>
              </v:group>
            </w:pict>
          </mc:Fallback>
        </mc:AlternateConten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7" wp14:anchorId="76725131">
                <wp:simplePos x="0" y="0"/>
                <wp:positionH relativeFrom="column">
                  <wp:posOffset>0</wp:posOffset>
                </wp:positionH>
                <wp:positionV relativeFrom="paragraph">
                  <wp:posOffset>831215</wp:posOffset>
                </wp:positionV>
                <wp:extent cx="2032635" cy="342900"/>
                <wp:effectExtent l="0" t="0" r="6350" b="3175"/>
                <wp:wrapNone/>
                <wp:docPr id="9" name="Cuadro de tex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1840" cy="342360"/>
                        </a:xfrm>
                        <a:prstGeom prst="rect">
                          <a:avLst/>
                        </a:prstGeom>
                        <a:solidFill>
                          <a:srgbClr val="ffcc66">
                            <a:alpha val="52000"/>
                          </a:srgbClr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20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Agency FB" w:hAnsi="Agency FB"/>
                                <w:color w:val="auto"/>
                                <w:sz w:val="16"/>
                                <w:szCs w:val="16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HIPOCALCEMIA SUBCLINICA Y % DE PREÑEZ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Cuadro de texto 2" fillcolor="#ffcc66" stroked="f" style="position:absolute;margin-left:0pt;margin-top:65.45pt;width:159.95pt;height:26.9pt" wp14:anchorId="76725131">
                <w10:wrap type="square"/>
                <v:fill o:detectmouseclick="t" type="solid" color2="#003399" opacity="0.51"/>
                <v:stroke color="#3465a4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ascii="Agency FB" w:hAnsi="Agency FB"/>
                          <w:color w:val="auto"/>
                          <w:sz w:val="16"/>
                          <w:szCs w:val="16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HIPOCALCEMIA SUBCLINICA Y % DE PREÑEZ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Así mismo las vacas con hipocalcemia subclínica  presentan  </w:t>
      </w:r>
      <w:r>
        <w:rPr>
          <w:b/>
          <w:sz w:val="28"/>
          <w:szCs w:val="28"/>
        </w:rPr>
        <w:t>menor fertilidad</w:t>
      </w:r>
      <w:r>
        <w:rPr>
          <w:sz w:val="28"/>
          <w:szCs w:val="28"/>
        </w:rPr>
        <w:t xml:space="preserve"> .En los ensayos de Martinez et al (2012) presentaron 15 días más abiertos con </w:t>
      </w:r>
      <w:r>
        <w:rPr>
          <w:b/>
          <w:sz w:val="28"/>
          <w:szCs w:val="28"/>
        </w:rPr>
        <w:t>20 %  más de animales no gestantes a los 100 días (</w:t>
      </w:r>
      <w:r>
        <w:rPr>
          <w:sz w:val="28"/>
          <w:szCs w:val="28"/>
        </w:rPr>
        <w:t>cuadro 10).</w:t>
      </w:r>
    </w:p>
    <w:p>
      <w:pPr>
        <w:pStyle w:val="Normal"/>
        <w:rPr>
          <w:sz w:val="28"/>
          <w:szCs w:val="28"/>
        </w:rPr>
      </w:pPr>
      <w:r>
        <w:rPr/>
        <w:drawing>
          <wp:inline distT="0" distB="0" distL="0" distR="8255">
            <wp:extent cx="2030095" cy="2000250"/>
            <wp:effectExtent l="0" t="0" r="0" b="0"/>
            <wp:docPr id="12" name="Imagen 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5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0" distB="0" distL="114300" distR="113665" simplePos="0" locked="0" layoutInCell="1" allowOverlap="1" relativeHeight="6" wp14:anchorId="5B4422EB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2029460" cy="353060"/>
                <wp:effectExtent l="0" t="0" r="9525" b="9525"/>
                <wp:wrapNone/>
                <wp:docPr id="11" name="289 Rectángul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960" cy="352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289 Rectángulo" fillcolor="white" stroked="f" style="position:absolute;margin-left:0pt;margin-top:0.6pt;width:159.7pt;height:27.7pt" wp14:anchorId="5B4422EB">
                <w10:wrap type="none"/>
                <v:fill o:detectmouseclick="t" type="solid" color2="black"/>
                <v:stroke color="#3465a4" weight="25560" joinstyle="round" endcap="flat"/>
              </v:rect>
            </w:pict>
          </mc:Fallback>
        </mc:AlternateContent>
      </w:r>
    </w:p>
    <w:p>
      <w:pPr>
        <w:pStyle w:val="Normal"/>
        <w:rPr>
          <w:sz w:val="28"/>
          <w:szCs w:val="28"/>
        </w:rPr>
      </w:pPr>
      <w:r>
        <w:rPr>
          <w:b/>
          <w:sz w:val="24"/>
          <w:szCs w:val="24"/>
        </w:rPr>
        <w:t>LA DISMINUCION DE LOS RIESGOS DE PRESENTACION DE HIPOCALCEMIA SUBCLINICA EN UN HATO ES MUY IMPORTANTE PARA LA PREVENCION DE PROBLEMAS  METABOLICOS EN EL POST-PARTO.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Las dos prácticas  que se recomiendan:</w:t>
      </w:r>
    </w:p>
    <w:p>
      <w:pPr>
        <w:pStyle w:val="ListParagraph"/>
        <w:numPr>
          <w:ilvl w:val="0"/>
          <w:numId w:val="1"/>
        </w:numPr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RACIONES ANIONICAS</w:t>
      </w:r>
    </w:p>
    <w:p>
      <w:pPr>
        <w:pStyle w:val="ListParagraph"/>
        <w:numPr>
          <w:ilvl w:val="0"/>
          <w:numId w:val="1"/>
        </w:numPr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APLICACIÓN DE BOLOS DE CALCIO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RACIONES ANIONICAS. 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Ampliamente utilizadas  y monitoreadas con medición de pH urinario 8 días antes de la fecha estimada del parto y 3 0 4 horas después de la ingestión de alimento. (Nivel óptimo de 5.8 a 6.5).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Investigaciones canadienses indican que un pH urinario menor de 7 reduce la ingestión de materia seca por lo que  no debe de recomendarse cuando hay otros factores limitantes del consumo (sobrepoblación, manejo del comedero etc.)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BOLOS CALCICOS.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La aplicación oral de bolos de calcio soluble al momento del parto y 12 y 24 horas después permite  aumentar los niveles plasmáticos de calcio durante el periodo crítico.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Aun con raciones anionicas exitosas es recomendable la utilización de bolos de calcio a las vacas cuya producción  sea 5 % superior a la medias Oetzel G.R. Miller B.E. 2012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CONTROL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Después de la implementación de estas recomendaciones se puede establecer un sistema de control y monitoreo de los niveles cálcicos en el post-parto, sangrando 10 vaquillas , 10 vacas  de segunda lactación y 10 vacas de tercera o más lactaciones ,12 horas y 24 horas post-parto .y  15 o 30 días después ( según cambio de corral de vacas frescas a altas ) 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Los animales no deben de haber sido  tratados con calcio endovenoso ni con bolos. , deben de haber tenido un  parto normal  sin intervención y haber permanecido  un mínimo de 14 días en el corral de próximas al parto.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GRAFICAR EL CONTENIDO EN CALCIO DE CADA VACA AGRUPANDOLAS POR NUMERO DE PARTO.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LOS DATOS ARROJADOS INDICARAN SI LA INTERVENCION NUTRICIONAL HA SIDO O NO EXITOSA.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2240" w:h="15840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gency FB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MX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MX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MX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522cdd"/>
    <w:rPr>
      <w:rFonts w:ascii="Tahoma" w:hAnsi="Tahoma" w:cs="Tahoma"/>
      <w:sz w:val="16"/>
      <w:szCs w:val="16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522cdd"/>
    <w:pPr>
      <w:spacing w:lineRule="auto" w:line="240" w:beforeAutospacing="1" w:afterAutospacing="1"/>
    </w:pPr>
    <w:rPr>
      <w:rFonts w:ascii="Times New Roman" w:hAnsi="Times New Roman" w:eastAsia="" w:cs="Times New Roman" w:eastAsiaTheme="minorEastAsia"/>
      <w:sz w:val="24"/>
      <w:szCs w:val="24"/>
      <w:lang w:eastAsia="es-MX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522cd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1a68"/>
    <w:pPr>
      <w:spacing w:before="0" w:after="200"/>
      <w:ind w:left="720" w:hanging="0"/>
      <w:contextualSpacing/>
    </w:pPr>
    <w:rPr/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7C328-F3BE-47B7-BDB1-FDC507971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LibreOffice/5.1.3.2$Windows_x86 LibreOffice_project/644e4637d1d8544fd9f56425bd6cec110e49301b</Application>
  <Pages>4</Pages>
  <Words>895</Words>
  <Characters>4581</Characters>
  <CharactersWithSpaces>5593</CharactersWithSpaces>
  <Paragraphs>39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2016-06-11T16:32:00Z</dcterms:created>
  <dc:creator>Enrique Echavez V</dc:creator>
  <dc:description/>
  <dc:language>es-MX</dc:language>
  <cp:lastModifiedBy/>
  <dcterms:modified xsi:type="dcterms:W3CDTF">2016-07-19T12:08:50Z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